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56AA1E8" w14:textId="3EC83C37" w:rsidR="00B80C4A" w:rsidRPr="00561F3F" w:rsidRDefault="004B23AB" w:rsidP="009F6504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9F6504" w:rsidRPr="009F6504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43AB38DF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CD6804" w:rsidRPr="00CD6804">
              <w:rPr>
                <w:rFonts w:cstheme="minorHAnsi"/>
                <w:noProof/>
              </w:rPr>
              <w:t xml:space="preserve">Rechargement, réparation et projection thermique 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41EDCAAD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CD6804">
              <w:rPr>
                <w:rFonts w:cstheme="minorHAnsi"/>
                <w:noProof/>
                <w:highlight w:val="lightGray"/>
              </w:rPr>
              <w:t>29 mai 2024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7C8EE64D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F664BB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F664BB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7B919E14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instrText xml:space="preserve"> FORMCHECKBOX </w:instrText>
            </w:r>
            <w:r w:rsidR="00F664BB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</w:r>
            <w:r w:rsidR="00F664BB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separate"/>
            </w:r>
            <w:r w:rsidRPr="00B358E0">
              <w:rPr>
                <w:rFonts w:ascii="Century Gothic" w:hAnsi="Century Gothic"/>
                <w:spacing w:val="-3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4E458E63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CD6804">
              <w:rPr>
                <w:rFonts w:cstheme="minorHAnsi"/>
                <w:noProof/>
                <w:highlight w:val="lightGray"/>
              </w:rPr>
              <w:t>29 février 2024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24FD743A" w:rsidR="00026DFB" w:rsidRPr="00B35F15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B35F15">
              <w:rPr>
                <w:rFonts w:cstheme="minorHAnsi"/>
                <w:noProof/>
                <w:highlight w:val="lightGray"/>
              </w:rPr>
              <w:t>Solutions innovantes et retours d'expérience industrielle</w:t>
            </w:r>
            <w:r w:rsidR="007F1848">
              <w:rPr>
                <w:rFonts w:cstheme="minorHAnsi"/>
                <w:noProof/>
                <w:highlight w:val="lightGray"/>
              </w:rPr>
              <w:t xml:space="preserve"> dans les domaines du </w:t>
            </w:r>
            <w:r w:rsidR="00F664BB" w:rsidRPr="00F664BB">
              <w:rPr>
                <w:rFonts w:cstheme="minorHAnsi"/>
                <w:noProof/>
              </w:rPr>
              <w:t>du rechargement dur, du placage (revêtement anti-corrosion) et de la projection thermique métallique et céramique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13E13E71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2B41A7">
              <w:rPr>
                <w:rFonts w:cstheme="minorHAnsi"/>
                <w:noProof/>
                <w:highlight w:val="lightGray"/>
              </w:rPr>
              <w:t>SCANDELLA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1338E0E3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2B41A7">
              <w:rPr>
                <w:rFonts w:cstheme="minorHAnsi"/>
                <w:noProof/>
                <w:highlight w:val="lightGray"/>
              </w:rPr>
              <w:t>Fabrice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1FBACD4B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4F3D55">
              <w:rPr>
                <w:rFonts w:cstheme="minorHAnsi"/>
                <w:noProof/>
                <w:highlight w:val="lightGray"/>
              </w:rPr>
              <w:t>0686665574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0FD64730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="004F3D55">
              <w:rPr>
                <w:rFonts w:cstheme="minorHAnsi"/>
                <w:noProof/>
                <w:highlight w:val="lightGray"/>
              </w:rPr>
              <w:t>f.scandella@isgroupe.com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B358E0">
              <w:rPr>
                <w:rFonts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8E0">
              <w:rPr>
                <w:rFonts w:cstheme="minorHAnsi"/>
                <w:highlight w:val="lightGray"/>
              </w:rPr>
              <w:instrText xml:space="preserve"> FORMTEXT </w:instrText>
            </w:r>
            <w:r w:rsidRPr="00B358E0">
              <w:rPr>
                <w:rFonts w:cstheme="minorHAnsi"/>
                <w:highlight w:val="lightGray"/>
              </w:rPr>
            </w:r>
            <w:r w:rsidRPr="00B358E0">
              <w:rPr>
                <w:rFonts w:cstheme="minorHAnsi"/>
                <w:highlight w:val="lightGray"/>
              </w:rPr>
              <w:fldChar w:fldCharType="separate"/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noProof/>
                <w:highlight w:val="lightGray"/>
              </w:rPr>
              <w:t> </w:t>
            </w:r>
            <w:r w:rsidRPr="00B358E0">
              <w:rPr>
                <w:rFonts w:cstheme="minorHAnsi"/>
                <w:highlight w:val="lightGray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11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0428" w14:textId="77777777" w:rsidR="0026116B" w:rsidRDefault="0026116B" w:rsidP="009E239A">
      <w:pPr>
        <w:spacing w:after="0" w:line="240" w:lineRule="auto"/>
      </w:pPr>
      <w:r>
        <w:separator/>
      </w:r>
    </w:p>
  </w:endnote>
  <w:endnote w:type="continuationSeparator" w:id="0">
    <w:p w14:paraId="5551089D" w14:textId="77777777" w:rsidR="0026116B" w:rsidRDefault="0026116B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1B3E" w14:textId="77777777" w:rsidR="0026116B" w:rsidRDefault="0026116B" w:rsidP="009E239A">
      <w:pPr>
        <w:spacing w:after="0" w:line="240" w:lineRule="auto"/>
      </w:pPr>
      <w:r>
        <w:separator/>
      </w:r>
    </w:p>
  </w:footnote>
  <w:footnote w:type="continuationSeparator" w:id="0">
    <w:p w14:paraId="7BAC9FD8" w14:textId="77777777" w:rsidR="0026116B" w:rsidRDefault="0026116B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fzPvq3lh7Tyj2ZP9Evv9eivgvHg5K8KPeGury4p94xsIxBcVl+r7b8NnFTtOECH7r987v3YOjCyY21i+Mqpw==" w:salt="IimIgcuocI5nP5UNJYKxw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104A7F"/>
    <w:rsid w:val="00122103"/>
    <w:rsid w:val="00180F26"/>
    <w:rsid w:val="00181989"/>
    <w:rsid w:val="001F3833"/>
    <w:rsid w:val="0021350F"/>
    <w:rsid w:val="0026116B"/>
    <w:rsid w:val="002B41A7"/>
    <w:rsid w:val="00353D1B"/>
    <w:rsid w:val="00354E61"/>
    <w:rsid w:val="0049396E"/>
    <w:rsid w:val="004B23AB"/>
    <w:rsid w:val="004F3D55"/>
    <w:rsid w:val="00561F3F"/>
    <w:rsid w:val="0057740D"/>
    <w:rsid w:val="005B4F62"/>
    <w:rsid w:val="006010C2"/>
    <w:rsid w:val="007109E5"/>
    <w:rsid w:val="007A6AD5"/>
    <w:rsid w:val="007F1848"/>
    <w:rsid w:val="009E239A"/>
    <w:rsid w:val="009F6504"/>
    <w:rsid w:val="00AE3781"/>
    <w:rsid w:val="00AE5518"/>
    <w:rsid w:val="00B358E0"/>
    <w:rsid w:val="00B35F15"/>
    <w:rsid w:val="00B724C4"/>
    <w:rsid w:val="00B80C4A"/>
    <w:rsid w:val="00BB7AE1"/>
    <w:rsid w:val="00C13FE8"/>
    <w:rsid w:val="00C70279"/>
    <w:rsid w:val="00CA43E9"/>
    <w:rsid w:val="00CD6804"/>
    <w:rsid w:val="00DC61AE"/>
    <w:rsid w:val="00DE5F6E"/>
    <w:rsid w:val="00E01A05"/>
    <w:rsid w:val="00F07DD2"/>
    <w:rsid w:val="00F664BB"/>
    <w:rsid w:val="00FB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00DED6520D34C8174E7BF3ACCC4E8" ma:contentTypeVersion="11" ma:contentTypeDescription="Crée un document." ma:contentTypeScope="" ma:versionID="52aa68167a070bb5a1185158b29098ad">
  <xsd:schema xmlns:xsd="http://www.w3.org/2001/XMLSchema" xmlns:xs="http://www.w3.org/2001/XMLSchema" xmlns:p="http://schemas.microsoft.com/office/2006/metadata/properties" xmlns:ns2="2d609417-4000-428a-8e2c-d311028f3b04" xmlns:ns3="5595723d-2bc2-4982-9875-60279235c331" targetNamespace="http://schemas.microsoft.com/office/2006/metadata/properties" ma:root="true" ma:fieldsID="4aec5a5a858f8458c6f4de6738ae66fc" ns2:_="" ns3:_="">
    <xsd:import namespace="2d609417-4000-428a-8e2c-d311028f3b04"/>
    <xsd:import namespace="5595723d-2bc2-4982-9875-60279235c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9417-4000-428a-8e2c-d311028f3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2027483-6009-4d30-b4f1-4fc6a9b72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723d-2bc2-4982-9875-60279235c33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00d1c8-3592-4bfc-b1ab-b78afc5e8dec}" ma:internalName="TaxCatchAll" ma:showField="CatchAllData" ma:web="5595723d-2bc2-4982-9875-60279235c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609417-4000-428a-8e2c-d311028f3b04">
      <Terms xmlns="http://schemas.microsoft.com/office/infopath/2007/PartnerControls"/>
    </lcf76f155ced4ddcb4097134ff3c332f>
    <TaxCatchAll xmlns="5595723d-2bc2-4982-9875-60279235c331" xsi:nil="true"/>
  </documentManagement>
</p:properties>
</file>

<file path=customXml/itemProps1.xml><?xml version="1.0" encoding="utf-8"?>
<ds:datastoreItem xmlns:ds="http://schemas.openxmlformats.org/officeDocument/2006/customXml" ds:itemID="{E0B706F0-1D1E-49B0-9A0E-4F63D3BE9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9417-4000-428a-8e2c-d311028f3b04"/>
    <ds:schemaRef ds:uri="5595723d-2bc2-4982-9875-60279235c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30AE3-D5DF-41A1-BF5E-F97C0CFAE7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210BF-CD53-4C19-9A9A-3BAB44F5119F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595723d-2bc2-4982-9875-60279235c331"/>
    <ds:schemaRef ds:uri="2d609417-4000-428a-8e2c-d311028f3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3</cp:revision>
  <cp:lastPrinted>2022-08-02T10:57:00Z</cp:lastPrinted>
  <dcterms:created xsi:type="dcterms:W3CDTF">2023-12-04T13:42:00Z</dcterms:created>
  <dcterms:modified xsi:type="dcterms:W3CDTF">2024-03-19T13:03:00Z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0x01010069700DED6520D34C8174E7BF3ACCC4E8</vt:lpwstr>
  </property>
  <property fmtid="{D5CDD505-2E9C-101B-9397-08002B2CF9AE}" pid="3" name="MediaServiceImageTags">
    <vt:lpwstr/>
  </property>
</Properties>
</file>